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5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>
        <w:tblPrEx/>
        <w:trPr/>
        <w:tc>
          <w:tcPr>
            <w:tcW w:w="4814" w:type="dxa"/>
            <w:textDirection w:val="lrTb"/>
            <w:noWrap w:val="false"/>
          </w:tcPr>
          <w:p>
            <w:pPr>
              <w:ind w:firstLine="0"/>
              <w:jc w:val="center"/>
              <w:tabs>
                <w:tab w:val="left" w:pos="5954" w:leader="none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</w:r>
          </w:p>
        </w:tc>
        <w:tc>
          <w:tcPr>
            <w:tcW w:w="4814" w:type="dxa"/>
            <w:textDirection w:val="lrTb"/>
            <w:noWrap w:val="false"/>
          </w:tcPr>
          <w:p>
            <w:pPr>
              <w:ind w:left="326" w:firstLine="0"/>
              <w:jc w:val="right"/>
              <w:tabs>
                <w:tab w:val="left" w:pos="5954" w:leader="none"/>
              </w:tabs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Приложение № 2 к извещению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</w:r>
          </w:p>
        </w:tc>
      </w:tr>
    </w:tbl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pStyle w:val="738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ТЕХНИЧЕСКОЕ ЗАДАНИЕ</w:t>
      </w:r>
      <w:r>
        <w:rPr>
          <w:b/>
          <w:bCs/>
          <w:sz w:val="26"/>
          <w:szCs w:val="26"/>
        </w:rPr>
      </w:r>
    </w:p>
    <w:p>
      <w:pPr>
        <w:pStyle w:val="738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pStyle w:val="73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выполнение работ по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корректировке</w:t>
      </w:r>
      <w:r>
        <w:rPr>
          <w:sz w:val="26"/>
          <w:szCs w:val="26"/>
        </w:rPr>
        <w:t xml:space="preserve"> проектно-сметной и ра</w:t>
      </w:r>
      <w:r>
        <w:rPr>
          <w:sz w:val="26"/>
          <w:szCs w:val="26"/>
        </w:rPr>
        <w:t xml:space="preserve">бочей документации и </w:t>
      </w:r>
      <w:r>
        <w:rPr>
          <w:sz w:val="26"/>
          <w:szCs w:val="26"/>
        </w:rPr>
        <w:t xml:space="preserve">оказание услуг по </w:t>
      </w:r>
      <w:r>
        <w:rPr>
          <w:sz w:val="26"/>
          <w:szCs w:val="26"/>
        </w:rPr>
        <w:t xml:space="preserve">т</w:t>
      </w:r>
      <w:r>
        <w:rPr>
          <w:sz w:val="26"/>
          <w:szCs w:val="26"/>
        </w:rPr>
        <w:t xml:space="preserve">ехническо</w:t>
      </w:r>
      <w:r>
        <w:rPr>
          <w:sz w:val="26"/>
          <w:szCs w:val="26"/>
        </w:rPr>
        <w:t xml:space="preserve">му</w:t>
      </w:r>
      <w:r>
        <w:rPr>
          <w:sz w:val="26"/>
          <w:szCs w:val="26"/>
        </w:rPr>
        <w:t xml:space="preserve"> сопровождени</w:t>
      </w:r>
      <w:r>
        <w:rPr>
          <w:sz w:val="26"/>
          <w:szCs w:val="26"/>
        </w:rPr>
        <w:t xml:space="preserve">ю</w:t>
      </w:r>
      <w:r>
        <w:rPr>
          <w:sz w:val="26"/>
          <w:szCs w:val="26"/>
        </w:rPr>
        <w:t xml:space="preserve"> при прохождении Государственной экспертизы откорректированной проектно-сметной документации </w:t>
      </w:r>
      <w:r>
        <w:rPr>
          <w:sz w:val="26"/>
          <w:szCs w:val="26"/>
        </w:rPr>
        <w:t xml:space="preserve">по объекту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</w:p>
    <w:p>
      <w:pPr>
        <w:ind w:firstLine="0"/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«Реконструкция промышленного производства нитроэфиров и изготовления пороховой массы</w:t>
      </w:r>
      <w:r>
        <w:rPr>
          <w:b/>
          <w:sz w:val="26"/>
          <w:szCs w:val="26"/>
        </w:rPr>
        <w:t xml:space="preserve"> (в целях внедрения технологии № 2.1.6.50)</w:t>
      </w:r>
      <w:r>
        <w:rPr>
          <w:b/>
          <w:sz w:val="26"/>
          <w:szCs w:val="26"/>
        </w:rPr>
        <w:t xml:space="preserve">,</w:t>
      </w:r>
      <w:r>
        <w:rPr>
          <w:b/>
          <w:sz w:val="26"/>
          <w:szCs w:val="26"/>
        </w:rPr>
        <w:t xml:space="preserve"> Федер</w:t>
      </w:r>
      <w:r>
        <w:rPr>
          <w:b/>
          <w:sz w:val="26"/>
          <w:szCs w:val="26"/>
        </w:rPr>
        <w:t xml:space="preserve">альное государственное унитарное предприятие «Федеральный центр двойных технологий «Союз</w:t>
      </w:r>
      <w:r>
        <w:rPr>
          <w:b/>
          <w:sz w:val="26"/>
          <w:szCs w:val="26"/>
        </w:rPr>
        <w:t xml:space="preserve">», г. Дзержинский, Московская область</w:t>
      </w:r>
      <w:r>
        <w:rPr>
          <w:b/>
          <w:sz w:val="26"/>
          <w:szCs w:val="26"/>
        </w:rPr>
        <w:t xml:space="preserve">»</w:t>
      </w:r>
      <w:r>
        <w:rPr>
          <w:b/>
          <w:sz w:val="26"/>
          <w:szCs w:val="26"/>
        </w:rPr>
      </w:r>
    </w:p>
    <w:p>
      <w:pPr>
        <w:ind w:firstLine="0"/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Второй пусковой комплекс</w:t>
      </w:r>
      <w:r>
        <w:rPr>
          <w:b/>
          <w:sz w:val="26"/>
          <w:szCs w:val="26"/>
        </w:rPr>
      </w:r>
    </w:p>
    <w:p>
      <w:pPr>
        <w:ind w:firstLine="0"/>
        <w:jc w:val="center"/>
        <w:tabs>
          <w:tab w:val="left" w:pos="993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Акционерное общество</w:t>
      </w:r>
      <w:r>
        <w:rPr>
          <w:bCs/>
          <w:sz w:val="26"/>
          <w:szCs w:val="26"/>
        </w:rPr>
      </w:r>
    </w:p>
    <w:p>
      <w:pPr>
        <w:ind w:firstLine="0"/>
        <w:jc w:val="center"/>
        <w:tabs>
          <w:tab w:val="left" w:pos="993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«Федеральный центр двойных технологий «Союз»</w:t>
      </w:r>
      <w:r>
        <w:rPr>
          <w:bCs/>
          <w:sz w:val="26"/>
          <w:szCs w:val="26"/>
        </w:rPr>
      </w:r>
    </w:p>
    <w:p>
      <w:pPr>
        <w:ind w:firstLine="0"/>
        <w:jc w:val="center"/>
        <w:tabs>
          <w:tab w:val="left" w:pos="993" w:leader="none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г. Дзержинский, Московская область</w:t>
      </w:r>
      <w:r>
        <w:rPr>
          <w:bCs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widowControl w:val="off"/>
        <w:rPr>
          <w:bCs/>
          <w:spacing w:val="10"/>
          <w:sz w:val="26"/>
          <w:szCs w:val="26"/>
        </w:rPr>
      </w:pPr>
      <w:r>
        <w:rPr>
          <w:bCs/>
          <w:spacing w:val="10"/>
          <w:sz w:val="26"/>
          <w:szCs w:val="26"/>
        </w:rPr>
      </w:r>
      <w:r>
        <w:rPr>
          <w:bCs/>
          <w:spacing w:val="10"/>
          <w:sz w:val="26"/>
          <w:szCs w:val="26"/>
        </w:rPr>
      </w:r>
    </w:p>
    <w:p>
      <w:pPr>
        <w:ind w:firstLine="0"/>
        <w:jc w:val="center"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2026</w:t>
      </w:r>
      <w:r>
        <w:rPr>
          <w:sz w:val="26"/>
          <w:szCs w:val="26"/>
        </w:rPr>
        <w:t xml:space="preserve"> г.</w:t>
      </w:r>
      <w:r>
        <w:rPr>
          <w:sz w:val="26"/>
          <w:szCs w:val="26"/>
        </w:rPr>
      </w:r>
    </w:p>
    <w:p>
      <w:pPr>
        <w:ind w:firstLine="0"/>
        <w:jc w:val="center"/>
        <w:spacing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jc w:val="center"/>
        <w:spacing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jc w:val="center"/>
        <w:spacing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jc w:val="center"/>
        <w:spacing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jc w:val="center"/>
        <w:spacing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jc w:val="center"/>
        <w:spacing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jc w:val="center"/>
        <w:spacing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jc w:val="center"/>
        <w:spacing w:after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90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762"/>
        <w:gridCol w:w="6429"/>
      </w:tblGrid>
      <w:tr>
        <w:tblPrEx/>
        <w:trPr>
          <w:tblHeader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7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2762" w:type="dxa"/>
            <w:textDirection w:val="lrTb"/>
            <w:noWrap w:val="false"/>
          </w:tcPr>
          <w:p>
            <w:pPr>
              <w:pStyle w:val="7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основных данных и требований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429" w:type="dxa"/>
            <w:textDirection w:val="lrTb"/>
            <w:noWrap w:val="false"/>
          </w:tcPr>
          <w:p>
            <w:pPr>
              <w:pStyle w:val="74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организации Заказчика-застройщика </w:t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29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Акционерное общество «Федеральный центр двойных технологий «Союз»</w:t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868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Местоположение объекта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(город, площадка, адрес)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pStyle w:val="7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140090, Российская Федерация, Московская область, </w:t>
            </w:r>
            <w:r>
              <w:rPr>
                <w:sz w:val="26"/>
                <w:szCs w:val="26"/>
              </w:rPr>
              <w:t xml:space="preserve">г.о. Люберцы, </w:t>
            </w:r>
            <w:r>
              <w:rPr>
                <w:sz w:val="26"/>
                <w:szCs w:val="26"/>
              </w:rPr>
              <w:t xml:space="preserve">г. Дзержинский, ул. </w:t>
            </w:r>
            <w:r>
              <w:rPr>
                <w:sz w:val="26"/>
                <w:szCs w:val="26"/>
              </w:rPr>
              <w:t xml:space="preserve">Лесная</w:t>
            </w:r>
            <w:r>
              <w:rPr>
                <w:sz w:val="26"/>
                <w:szCs w:val="26"/>
              </w:rPr>
              <w:t xml:space="preserve">, дом 4</w:t>
            </w:r>
            <w:r>
              <w:rPr>
                <w:sz w:val="26"/>
                <w:szCs w:val="26"/>
              </w:rPr>
              <w:t xml:space="preserve">4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объекта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ind w:firstLine="0"/>
              <w:widowControl w:val="off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«Ре</w:t>
            </w:r>
            <w:r>
              <w:rPr>
                <w:sz w:val="26"/>
                <w:szCs w:val="26"/>
              </w:rPr>
              <w:t xml:space="preserve">конструкция промышленного производства нитроэфиров и изготовления пороховой массы (в целях внедрения технологии № 2.1.6.50), Федеральное государственное унитарное предприятие «Федеральный центр двойных технологий «Союз», г. Дзержинский, Московская область»</w:t>
            </w:r>
            <w:r>
              <w:rPr>
                <w:bCs/>
                <w:sz w:val="26"/>
                <w:szCs w:val="26"/>
              </w:rPr>
              <w:t xml:space="preserve"> - Второй пусковой комплекс</w:t>
            </w:r>
            <w:r>
              <w:rPr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t xml:space="preserve">4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Вид строительства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ind w:firstLine="0"/>
              <w:jc w:val="left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Реконструкция и техническое перевооружение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jc w:val="left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t xml:space="preserve">5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Источник финансирования объекта строительства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ind w:firstLine="0"/>
              <w:jc w:val="left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Собственные средства Заказчика</w:t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Назначение объекта, производственная номенклатура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pStyle w:val="738"/>
              <w:jc w:val="both"/>
              <w:rPr>
                <w:rFonts w:eastAsia="Calibri"/>
                <w:bCs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Внедрение </w:t>
            </w:r>
            <w:r>
              <w:rPr>
                <w:sz w:val="26"/>
                <w:szCs w:val="26"/>
              </w:rPr>
              <w:t xml:space="preserve">новой </w:t>
            </w:r>
            <w:r>
              <w:rPr>
                <w:sz w:val="26"/>
                <w:szCs w:val="26"/>
              </w:rPr>
              <w:t xml:space="preserve">технологии</w:t>
            </w:r>
            <w:r>
              <w:rPr>
                <w:rFonts w:eastAsia="Calibri"/>
                <w:bCs/>
                <w:iCs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Цели работ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pStyle w:val="7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Целью работ является корректировка проектно-сметной</w:t>
            </w:r>
            <w:r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рабочей </w:t>
            </w:r>
            <w:r>
              <w:rPr>
                <w:sz w:val="26"/>
                <w:szCs w:val="26"/>
              </w:rPr>
              <w:t xml:space="preserve">документации</w:t>
            </w:r>
            <w:r>
              <w:rPr>
                <w:sz w:val="26"/>
                <w:szCs w:val="26"/>
              </w:rPr>
              <w:t xml:space="preserve"> в соответствии с факт</w:t>
            </w:r>
            <w:r>
              <w:rPr>
                <w:sz w:val="26"/>
                <w:szCs w:val="26"/>
              </w:rPr>
              <w:t xml:space="preserve">ически</w:t>
            </w:r>
            <w:r>
              <w:rPr>
                <w:sz w:val="26"/>
                <w:szCs w:val="26"/>
              </w:rPr>
              <w:t xml:space="preserve"> выполненны</w:t>
            </w:r>
            <w:r>
              <w:rPr>
                <w:sz w:val="26"/>
                <w:szCs w:val="26"/>
              </w:rPr>
              <w:t xml:space="preserve">ми</w:t>
            </w:r>
            <w:r>
              <w:rPr>
                <w:sz w:val="26"/>
                <w:szCs w:val="26"/>
              </w:rPr>
              <w:t xml:space="preserve"> работ</w:t>
            </w:r>
            <w:r>
              <w:rPr>
                <w:sz w:val="26"/>
                <w:szCs w:val="26"/>
              </w:rPr>
              <w:t xml:space="preserve">ами</w:t>
            </w:r>
            <w:r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 xml:space="preserve">необходим</w:t>
            </w:r>
            <w:r>
              <w:rPr>
                <w:sz w:val="26"/>
                <w:szCs w:val="26"/>
              </w:rPr>
              <w:t xml:space="preserve">ыми</w:t>
            </w:r>
            <w:r>
              <w:rPr>
                <w:sz w:val="26"/>
                <w:szCs w:val="26"/>
              </w:rPr>
              <w:t xml:space="preserve"> для завершения строительно-монтажных работ</w:t>
            </w:r>
            <w:r>
              <w:rPr>
                <w:sz w:val="26"/>
                <w:szCs w:val="26"/>
              </w:rPr>
              <w:t xml:space="preserve"> по объекту</w:t>
            </w:r>
            <w:r>
              <w:rPr>
                <w:sz w:val="26"/>
                <w:szCs w:val="26"/>
              </w:rPr>
            </w:r>
          </w:p>
          <w:p>
            <w:pPr>
              <w:pStyle w:val="7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Вид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pStyle w:val="7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</w:t>
            </w:r>
            <w:r>
              <w:rPr>
                <w:sz w:val="26"/>
                <w:szCs w:val="26"/>
              </w:rPr>
              <w:t xml:space="preserve">роектные работы</w:t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704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Минимально необходимые требования, предъявляемые к закупаемым товарам (работам, услугам)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pStyle w:val="7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Работы должны соответствовать действующим нормативно-правовым актам РФ, нормативным т</w:t>
            </w:r>
            <w:r>
              <w:rPr>
                <w:sz w:val="26"/>
                <w:szCs w:val="26"/>
              </w:rPr>
              <w:t xml:space="preserve">ехническим документам, техническим регламентам, строительным правилам (сводам правил) в области проектирования и строительства, а также требованиям Задания на проектирование. Проектно-сметная документация должна содержать экономически обоснованные решения.</w:t>
            </w:r>
            <w:r>
              <w:rPr>
                <w:sz w:val="26"/>
                <w:szCs w:val="26"/>
              </w:rPr>
            </w:r>
          </w:p>
          <w:p>
            <w:pPr>
              <w:pStyle w:val="7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  <w:t xml:space="preserve">0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Исходные данные, предоставляемые Заказчиком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проектно-сметная документация</w:t>
            </w:r>
            <w:r>
              <w:rPr>
                <w:sz w:val="26"/>
                <w:szCs w:val="26"/>
              </w:rPr>
              <w:t xml:space="preserve">,</w:t>
            </w:r>
            <w:r>
              <w:rPr>
                <w:sz w:val="26"/>
                <w:szCs w:val="26"/>
              </w:rPr>
              <w:t xml:space="preserve"> получившая положительное заключение ФАУ «Главгосэкспертиза Росси</w:t>
            </w:r>
            <w:r>
              <w:rPr>
                <w:sz w:val="26"/>
                <w:szCs w:val="26"/>
              </w:rPr>
              <w:t xml:space="preserve">и» </w:t>
            </w:r>
            <w:r>
              <w:rPr>
                <w:sz w:val="26"/>
                <w:szCs w:val="26"/>
              </w:rPr>
              <w:t xml:space="preserve">№</w:t>
            </w:r>
            <w:r>
              <w:rPr>
                <w:sz w:val="26"/>
                <w:szCs w:val="26"/>
              </w:rPr>
              <w:t xml:space="preserve">402</w:t>
            </w:r>
            <w:r>
              <w:rPr>
                <w:sz w:val="26"/>
                <w:szCs w:val="26"/>
              </w:rPr>
              <w:t xml:space="preserve">с-1</w:t>
            </w: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  <w:t xml:space="preserve">/ГГЭ-</w:t>
            </w:r>
            <w:r>
              <w:rPr>
                <w:sz w:val="26"/>
                <w:szCs w:val="26"/>
              </w:rPr>
              <w:t xml:space="preserve">11196</w:t>
            </w:r>
            <w:r>
              <w:rPr>
                <w:sz w:val="26"/>
                <w:szCs w:val="26"/>
              </w:rPr>
              <w:t xml:space="preserve">/03 от </w:t>
            </w:r>
            <w:r>
              <w:rPr>
                <w:sz w:val="26"/>
                <w:szCs w:val="26"/>
              </w:rPr>
              <w:t xml:space="preserve">19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  <w:t xml:space="preserve">10</w:t>
            </w:r>
            <w:r>
              <w:rPr>
                <w:sz w:val="26"/>
                <w:szCs w:val="26"/>
              </w:rPr>
              <w:t xml:space="preserve">.201</w:t>
            </w:r>
            <w:r>
              <w:rPr>
                <w:sz w:val="26"/>
                <w:szCs w:val="26"/>
              </w:rPr>
              <w:t xml:space="preserve">7</w:t>
            </w:r>
            <w:r>
              <w:rPr>
                <w:sz w:val="26"/>
                <w:szCs w:val="26"/>
              </w:rPr>
              <w:t xml:space="preserve"> г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  <w:t xml:space="preserve">;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рабочая документация</w:t>
            </w:r>
            <w:r>
              <w:rPr>
                <w:sz w:val="26"/>
                <w:szCs w:val="26"/>
              </w:rPr>
              <w:t xml:space="preserve">;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проектно-сметная документация</w:t>
            </w:r>
            <w:r>
              <w:rPr>
                <w:sz w:val="26"/>
                <w:szCs w:val="26"/>
              </w:rPr>
              <w:t xml:space="preserve">,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разделенная на </w:t>
            </w:r>
            <w:r>
              <w:rPr>
                <w:sz w:val="26"/>
                <w:szCs w:val="26"/>
              </w:rPr>
              <w:t xml:space="preserve">пусковые комплексы</w:t>
            </w:r>
            <w:r>
              <w:rPr>
                <w:sz w:val="26"/>
                <w:szCs w:val="26"/>
              </w:rPr>
              <w:t xml:space="preserve"> и </w:t>
            </w:r>
            <w:r>
              <w:rPr>
                <w:sz w:val="26"/>
                <w:szCs w:val="26"/>
              </w:rPr>
              <w:t xml:space="preserve">утвержденная Заказчиком</w:t>
            </w:r>
            <w:r>
              <w:rPr>
                <w:sz w:val="26"/>
                <w:szCs w:val="26"/>
              </w:rPr>
              <w:t xml:space="preserve">;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з</w:t>
            </w:r>
            <w:r>
              <w:rPr>
                <w:sz w:val="26"/>
                <w:szCs w:val="26"/>
              </w:rPr>
              <w:t xml:space="preserve">аключени</w:t>
            </w:r>
            <w:r>
              <w:rPr>
                <w:sz w:val="26"/>
                <w:szCs w:val="26"/>
              </w:rPr>
              <w:t xml:space="preserve">е</w:t>
            </w:r>
            <w:r>
              <w:rPr>
                <w:sz w:val="26"/>
                <w:szCs w:val="26"/>
              </w:rPr>
              <w:t xml:space="preserve"> строительно</w:t>
            </w:r>
            <w:r>
              <w:rPr>
                <w:sz w:val="26"/>
                <w:szCs w:val="26"/>
              </w:rPr>
              <w:t xml:space="preserve">-техническо</w:t>
            </w:r>
            <w:r>
              <w:rPr>
                <w:sz w:val="26"/>
                <w:szCs w:val="26"/>
              </w:rPr>
              <w:t xml:space="preserve">й экспертизы</w:t>
            </w:r>
            <w:r>
              <w:rPr>
                <w:sz w:val="26"/>
                <w:szCs w:val="26"/>
              </w:rPr>
              <w:t xml:space="preserve"> объектов Первого пускового комплекса</w:t>
            </w:r>
            <w:r>
              <w:rPr>
                <w:sz w:val="26"/>
                <w:szCs w:val="26"/>
              </w:rPr>
              <w:t xml:space="preserve">;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Приложение № 1 к ТЗ ПД 2ПК.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Прочие исходные данные, необходимые для </w:t>
            </w:r>
            <w:r>
              <w:rPr>
                <w:sz w:val="26"/>
                <w:szCs w:val="26"/>
              </w:rPr>
              <w:t xml:space="preserve">достижения целей работ</w:t>
            </w:r>
            <w:r>
              <w:rPr>
                <w:sz w:val="26"/>
                <w:szCs w:val="26"/>
              </w:rPr>
              <w:t xml:space="preserve">, предоставляются </w:t>
            </w:r>
            <w:r>
              <w:rPr>
                <w:sz w:val="26"/>
                <w:szCs w:val="26"/>
              </w:rPr>
              <w:t xml:space="preserve">на основании запроса Подрядчика</w:t>
            </w:r>
            <w:r>
              <w:rPr>
                <w:sz w:val="26"/>
                <w:szCs w:val="26"/>
              </w:rPr>
              <w:t xml:space="preserve"> и не могут являться причиной переноса сроков выполнения проектных работ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Содержание работ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ind w:left="360" w:firstLine="0"/>
              <w:jc w:val="left"/>
              <w:spacing w:after="0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объем выполняемых работ должно входить:</w:t>
            </w:r>
            <w:r>
              <w:rPr>
                <w:sz w:val="26"/>
                <w:szCs w:val="26"/>
              </w:rPr>
            </w:r>
          </w:p>
          <w:p>
            <w:pPr>
              <w:numPr>
                <w:ilvl w:val="0"/>
                <w:numId w:val="11"/>
              </w:numPr>
              <w:ind w:left="0" w:firstLine="0"/>
              <w:spacing w:after="0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Входной контроль проектно-сметной и рабочей документации с составлением ведомости расхождений.</w:t>
            </w:r>
            <w:r>
              <w:rPr>
                <w:sz w:val="26"/>
                <w:szCs w:val="26"/>
              </w:rPr>
            </w:r>
          </w:p>
          <w:p>
            <w:pPr>
              <w:numPr>
                <w:ilvl w:val="0"/>
                <w:numId w:val="11"/>
              </w:numPr>
              <w:ind w:left="0" w:firstLine="0"/>
              <w:spacing w:after="0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Оце</w:t>
            </w:r>
            <w:r>
              <w:rPr>
                <w:sz w:val="26"/>
                <w:szCs w:val="26"/>
              </w:rPr>
              <w:t xml:space="preserve">нка исходных данных </w:t>
            </w:r>
            <w:r>
              <w:rPr>
                <w:sz w:val="26"/>
                <w:szCs w:val="26"/>
              </w:rPr>
              <w:t xml:space="preserve">на предмет достаточности для осуществления проектных работ с последующим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прохождением Государственной экспертизы.</w:t>
            </w:r>
            <w:r>
              <w:rPr>
                <w:sz w:val="26"/>
                <w:szCs w:val="26"/>
              </w:rPr>
            </w:r>
          </w:p>
          <w:p>
            <w:pPr>
              <w:numPr>
                <w:ilvl w:val="0"/>
                <w:numId w:val="11"/>
              </w:numPr>
              <w:ind w:left="0" w:firstLine="0"/>
              <w:spacing w:after="0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Составление и согласование план-графика корректировки разделов </w:t>
            </w:r>
            <w:r>
              <w:rPr>
                <w:sz w:val="26"/>
                <w:szCs w:val="26"/>
              </w:rPr>
              <w:t xml:space="preserve">проектно</w:t>
            </w:r>
            <w:r>
              <w:rPr>
                <w:sz w:val="26"/>
                <w:szCs w:val="26"/>
              </w:rPr>
              <w:t xml:space="preserve">-сметно</w:t>
            </w:r>
            <w:r>
              <w:rPr>
                <w:sz w:val="26"/>
                <w:szCs w:val="26"/>
              </w:rPr>
              <w:t xml:space="preserve">й</w:t>
            </w:r>
            <w:r>
              <w:rPr>
                <w:sz w:val="26"/>
                <w:szCs w:val="26"/>
              </w:rPr>
              <w:t xml:space="preserve"> и рабочей</w:t>
            </w:r>
            <w:r>
              <w:rPr>
                <w:sz w:val="26"/>
                <w:szCs w:val="26"/>
              </w:rPr>
              <w:t xml:space="preserve"> документации</w:t>
            </w:r>
            <w:r>
              <w:rPr>
                <w:sz w:val="26"/>
                <w:szCs w:val="26"/>
              </w:rPr>
              <w:t xml:space="preserve">, в том числе с разделением по корректировке в </w:t>
            </w:r>
            <w:r>
              <w:rPr>
                <w:sz w:val="26"/>
                <w:szCs w:val="26"/>
              </w:rPr>
              <w:t xml:space="preserve">части 3.8</w:t>
            </w:r>
            <w:r>
              <w:rPr>
                <w:sz w:val="26"/>
                <w:szCs w:val="26"/>
              </w:rPr>
              <w:t xml:space="preserve">. и 3.9 ст. 49 ГрК РФ.</w:t>
            </w:r>
            <w:r>
              <w:rPr>
                <w:sz w:val="26"/>
                <w:szCs w:val="26"/>
              </w:rPr>
            </w:r>
          </w:p>
          <w:p>
            <w:pPr>
              <w:numPr>
                <w:ilvl w:val="0"/>
                <w:numId w:val="11"/>
              </w:numPr>
              <w:ind w:left="0" w:firstLine="0"/>
              <w:spacing w:after="0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Корректировка проектно</w:t>
            </w:r>
            <w:r>
              <w:rPr>
                <w:sz w:val="26"/>
                <w:szCs w:val="26"/>
              </w:rPr>
              <w:t xml:space="preserve">-сметно</w:t>
            </w:r>
            <w:r>
              <w:rPr>
                <w:sz w:val="26"/>
                <w:szCs w:val="26"/>
              </w:rPr>
              <w:t xml:space="preserve">й</w:t>
            </w:r>
            <w:r>
              <w:rPr>
                <w:sz w:val="26"/>
                <w:szCs w:val="26"/>
              </w:rPr>
              <w:t xml:space="preserve"> и рабочей</w:t>
            </w:r>
            <w:r>
              <w:rPr>
                <w:sz w:val="26"/>
                <w:szCs w:val="26"/>
              </w:rPr>
              <w:t xml:space="preserve"> документации</w:t>
            </w:r>
            <w:r>
              <w:rPr>
                <w:sz w:val="26"/>
                <w:szCs w:val="26"/>
              </w:rPr>
              <w:t xml:space="preserve"> в части фактически выполненных работ</w:t>
            </w:r>
            <w:r>
              <w:rPr>
                <w:sz w:val="26"/>
                <w:szCs w:val="26"/>
              </w:rPr>
              <w:t xml:space="preserve">, в том числе 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на </w:t>
            </w:r>
            <w:r>
              <w:rPr>
                <w:sz w:val="26"/>
                <w:szCs w:val="26"/>
              </w:rPr>
              <w:t xml:space="preserve">основании Заключения строительн</w:t>
            </w:r>
            <w:r>
              <w:rPr>
                <w:sz w:val="26"/>
                <w:szCs w:val="26"/>
              </w:rPr>
              <w:t xml:space="preserve">о</w:t>
            </w:r>
            <w:r>
              <w:rPr>
                <w:sz w:val="26"/>
                <w:szCs w:val="26"/>
              </w:rPr>
              <w:t xml:space="preserve">-техническо</w:t>
            </w:r>
            <w:r>
              <w:rPr>
                <w:sz w:val="26"/>
                <w:szCs w:val="26"/>
              </w:rPr>
              <w:t xml:space="preserve">й экспертизы.</w:t>
            </w:r>
            <w:r>
              <w:rPr>
                <w:sz w:val="26"/>
                <w:szCs w:val="26"/>
              </w:rPr>
            </w:r>
          </w:p>
          <w:p>
            <w:pPr>
              <w:numPr>
                <w:ilvl w:val="0"/>
                <w:numId w:val="11"/>
              </w:numPr>
              <w:ind w:left="0" w:firstLine="0"/>
              <w:spacing w:after="0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Согласование откорректированной </w:t>
            </w:r>
            <w:r>
              <w:rPr>
                <w:sz w:val="26"/>
                <w:szCs w:val="26"/>
              </w:rPr>
              <w:t xml:space="preserve">проектно</w:t>
            </w:r>
            <w:r>
              <w:rPr>
                <w:sz w:val="26"/>
                <w:szCs w:val="26"/>
              </w:rPr>
              <w:t xml:space="preserve">-сметно</w:t>
            </w:r>
            <w:r>
              <w:rPr>
                <w:sz w:val="26"/>
                <w:szCs w:val="26"/>
              </w:rPr>
              <w:t xml:space="preserve">й</w:t>
            </w:r>
            <w:r>
              <w:rPr>
                <w:sz w:val="26"/>
                <w:szCs w:val="26"/>
              </w:rPr>
              <w:t xml:space="preserve"> и рабочей</w:t>
            </w:r>
            <w:r>
              <w:rPr>
                <w:sz w:val="26"/>
                <w:szCs w:val="26"/>
              </w:rPr>
              <w:t xml:space="preserve"> документации</w:t>
            </w:r>
            <w:r>
              <w:rPr>
                <w:sz w:val="26"/>
                <w:szCs w:val="26"/>
              </w:rPr>
              <w:t xml:space="preserve"> с Заказчиком.</w:t>
            </w:r>
            <w:r>
              <w:rPr>
                <w:sz w:val="26"/>
                <w:szCs w:val="26"/>
              </w:rPr>
            </w:r>
          </w:p>
          <w:p>
            <w:pPr>
              <w:numPr>
                <w:ilvl w:val="0"/>
                <w:numId w:val="11"/>
              </w:numPr>
              <w:ind w:left="0" w:firstLine="0"/>
              <w:spacing w:after="0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Техническое сопровождение </w:t>
            </w:r>
            <w:r>
              <w:rPr>
                <w:sz w:val="26"/>
                <w:szCs w:val="26"/>
              </w:rPr>
              <w:t xml:space="preserve">при</w:t>
            </w:r>
            <w:r>
              <w:rPr>
                <w:sz w:val="26"/>
                <w:szCs w:val="26"/>
              </w:rPr>
              <w:t xml:space="preserve"> прохождени</w:t>
            </w:r>
            <w:r>
              <w:rPr>
                <w:sz w:val="26"/>
                <w:szCs w:val="26"/>
              </w:rPr>
              <w:t xml:space="preserve">и</w:t>
            </w:r>
            <w:r>
              <w:rPr>
                <w:sz w:val="26"/>
                <w:szCs w:val="26"/>
              </w:rPr>
              <w:t xml:space="preserve"> Государственной экспертизы откорректированной проектно-сметной документации</w:t>
            </w:r>
            <w:r>
              <w:rPr>
                <w:sz w:val="26"/>
                <w:szCs w:val="26"/>
              </w:rPr>
              <w:t xml:space="preserve"> до момента получения итогового положительного заключения ФАУ «Главгосэкспертиза России</w:t>
            </w:r>
            <w:r>
              <w:rPr>
                <w:sz w:val="26"/>
                <w:szCs w:val="26"/>
              </w:rPr>
              <w:t xml:space="preserve">»</w:t>
            </w:r>
            <w:r>
              <w:rPr>
                <w:sz w:val="26"/>
                <w:szCs w:val="26"/>
              </w:rPr>
              <w:t xml:space="preserve">, в том числе устранение замечаний и представление дополнительно запрашиваемых материалов.</w:t>
            </w:r>
            <w:r>
              <w:rPr>
                <w:sz w:val="26"/>
                <w:szCs w:val="26"/>
              </w:rPr>
            </w:r>
          </w:p>
          <w:p>
            <w:pPr>
              <w:numPr>
                <w:ilvl w:val="0"/>
                <w:numId w:val="11"/>
              </w:numPr>
              <w:ind w:left="0" w:firstLine="0"/>
              <w:spacing w:after="0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Внесение изменений/дополнений в проектно-сметную и рабочую документацию</w:t>
            </w:r>
            <w:r>
              <w:rPr>
                <w:sz w:val="26"/>
                <w:szCs w:val="26"/>
              </w:rPr>
              <w:t xml:space="preserve"> на основании фактически выполненных работ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spacing w:after="0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Способ внесения изменений в проектно-сметную и рабочую документацию проектировщик определяет самостоятельно, но с учетом безусловного достижения результата выполнения проектных работ.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spacing w:after="0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right="9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  <w:t xml:space="preserve">2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Сроки выполнения работ, услуг (начало, окончание, этапы)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pStyle w:val="7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Начало работ - с момента заключения договора.</w:t>
            </w:r>
            <w:r>
              <w:rPr>
                <w:sz w:val="26"/>
                <w:szCs w:val="26"/>
              </w:rPr>
            </w:r>
          </w:p>
          <w:p>
            <w:pPr>
              <w:pStyle w:val="7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Ок</w:t>
            </w:r>
            <w:r>
              <w:rPr>
                <w:sz w:val="26"/>
                <w:szCs w:val="26"/>
              </w:rPr>
              <w:t xml:space="preserve">ончание работ – не позднее 31.08</w:t>
            </w:r>
            <w:r>
              <w:rPr>
                <w:sz w:val="26"/>
                <w:szCs w:val="26"/>
              </w:rPr>
              <w:t xml:space="preserve">.2026 г.</w:t>
            </w:r>
            <w:r>
              <w:rPr>
                <w:sz w:val="26"/>
                <w:szCs w:val="26"/>
              </w:rPr>
            </w:r>
          </w:p>
          <w:p>
            <w:pPr>
              <w:pStyle w:val="738"/>
              <w:numPr>
                <w:ilvl w:val="0"/>
                <w:numId w:val="16"/>
              </w:numPr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Корректировка проектно-сметной и рабочей документации в части фактически выполненных работ, в том числе и на основании Заключения строительно-технической экспертизы</w:t>
            </w:r>
            <w:r>
              <w:rPr>
                <w:sz w:val="26"/>
                <w:szCs w:val="26"/>
              </w:rPr>
              <w:t xml:space="preserve"> и </w:t>
            </w:r>
            <w:r>
              <w:rPr>
                <w:sz w:val="26"/>
                <w:szCs w:val="26"/>
              </w:rPr>
              <w:t xml:space="preserve">техническое сопровождение </w:t>
            </w:r>
            <w:r>
              <w:rPr>
                <w:sz w:val="26"/>
                <w:szCs w:val="26"/>
              </w:rPr>
              <w:t xml:space="preserve">при прохождении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Государственной экспертизы откорректированной проектно-сметной документации </w:t>
            </w:r>
            <w:r>
              <w:rPr>
                <w:sz w:val="26"/>
                <w:szCs w:val="26"/>
              </w:rPr>
              <w:t xml:space="preserve">до момента получения итогового положительного заключения ФАУ «Главгосэкспертиза России</w:t>
            </w:r>
            <w:r>
              <w:rPr>
                <w:sz w:val="26"/>
                <w:szCs w:val="26"/>
              </w:rPr>
              <w:t xml:space="preserve">».</w:t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809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  <w:t xml:space="preserve">3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Особые условия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Последовательность выполнения проектных работ может быть скорректирована Заказчиком в связи с этапом проводимых по реализации проекта мероприятий, характером и приоритетностью выполняемых строительно-монтажных работ.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Стоимость выполнения проектно-изыскательских работ должна быть подтверждена</w:t>
            </w:r>
            <w:r>
              <w:rPr>
                <w:sz w:val="26"/>
                <w:szCs w:val="26"/>
              </w:rPr>
              <w:t xml:space="preserve"> положительным </w:t>
            </w:r>
            <w:r>
              <w:rPr>
                <w:sz w:val="26"/>
                <w:szCs w:val="26"/>
              </w:rPr>
              <w:t xml:space="preserve">заключением </w:t>
            </w:r>
            <w:r>
              <w:rPr>
                <w:sz w:val="26"/>
                <w:szCs w:val="26"/>
              </w:rPr>
              <w:t xml:space="preserve">ФАУ</w:t>
            </w:r>
            <w:r>
              <w:rPr>
                <w:sz w:val="26"/>
                <w:szCs w:val="26"/>
              </w:rPr>
              <w:t xml:space="preserve"> «Главгосэкспертиза России».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 необходимости провести инженерные изыскания.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Часть исходных данных содержит сведения, составляющие государственную тайну и/или служебную информаци</w:t>
            </w:r>
            <w:r>
              <w:rPr>
                <w:sz w:val="26"/>
                <w:szCs w:val="26"/>
              </w:rPr>
              <w:t xml:space="preserve">ю ограниченного распространения. </w:t>
            </w:r>
            <w:r>
              <w:rPr>
                <w:color w:val="000000" w:themeColor="text1"/>
                <w:sz w:val="26"/>
                <w:szCs w:val="26"/>
              </w:rPr>
              <w:t xml:space="preserve">Для передачи сведений, составляющих</w:t>
            </w:r>
            <w:r>
              <w:rPr>
                <w:color w:val="000000" w:themeColor="text1"/>
                <w:sz w:val="26"/>
                <w:szCs w:val="26"/>
              </w:rPr>
              <w:t xml:space="preserve"> государственную тайну, Заказчик обязан убедиться в наличии у Подрядчика лицензии на осуществление работ с использованием сведений, составляющих государственную тайну со степенью секретности разрешенных к использованию сведений «секретно» (3 форма допуска)</w:t>
            </w:r>
            <w:r>
              <w:rPr>
                <w:color w:val="000000" w:themeColor="text1"/>
                <w:sz w:val="26"/>
                <w:szCs w:val="26"/>
              </w:rPr>
              <w:t xml:space="preserve">.</w:t>
            </w:r>
            <w:r>
              <w:rPr>
                <w:color w:val="000000" w:themeColor="text1"/>
                <w:sz w:val="26"/>
                <w:szCs w:val="26"/>
              </w:rPr>
              <w:t xml:space="preserve"> В случае отсутствия у Подрядчика лицензии указанной степени секретности разрешенных к использованию сведений, передача сведений, составляющих государственную тайну, возможна только после по</w:t>
            </w:r>
            <w:r>
              <w:rPr>
                <w:color w:val="000000" w:themeColor="text1"/>
                <w:sz w:val="26"/>
                <w:szCs w:val="26"/>
              </w:rPr>
              <w:t xml:space="preserve">лучения Подрядчиком установленным законодательством Российской Федерации порядком лицензии на осуществление работ с использованием сведений, составляющих государственную тайну, со степенью секретности разрешенных работ не ниже «секретно» (3 форма допуска).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highlight w:val="yellow"/>
              </w:rPr>
            </w:r>
          </w:p>
        </w:tc>
      </w:tr>
      <w:tr>
        <w:tblPrEx/>
        <w:trPr>
          <w:trHeight w:val="809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Результат выполнения работ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/>
            <w:bookmarkStart w:id="0" w:name="_Hlk214360980"/>
            <w:r>
              <w:rPr>
                <w:sz w:val="26"/>
                <w:szCs w:val="26"/>
              </w:rPr>
              <w:t xml:space="preserve">Внесенные в проектную и рабочую документацию изменения, необходимые для получения заключения о соответствии построенного объекта требованиям проектной (откорректированной) документации и технических регламентов.</w:t>
            </w:r>
            <w:bookmarkEnd w:id="0"/>
            <w:r/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Положительные локальные заключения ФАУ «Главгосэкспертиза России» по откорректированным разделам проектной документации.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67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Итоговое</w:t>
            </w:r>
            <w:r>
              <w:rPr>
                <w:sz w:val="26"/>
                <w:szCs w:val="26"/>
              </w:rPr>
              <w:t xml:space="preserve"> положительно</w:t>
            </w:r>
            <w:r>
              <w:rPr>
                <w:sz w:val="26"/>
                <w:szCs w:val="26"/>
              </w:rPr>
              <w:t xml:space="preserve">е</w:t>
            </w:r>
            <w:r>
              <w:rPr>
                <w:sz w:val="26"/>
                <w:szCs w:val="26"/>
              </w:rPr>
              <w:t xml:space="preserve"> заключени</w:t>
            </w:r>
            <w:r>
              <w:rPr>
                <w:sz w:val="26"/>
                <w:szCs w:val="26"/>
              </w:rPr>
              <w:t xml:space="preserve">е</w:t>
            </w:r>
            <w:r>
              <w:rPr>
                <w:sz w:val="26"/>
                <w:szCs w:val="26"/>
              </w:rPr>
              <w:t xml:space="preserve"> ФАУ «Главгосэкспертиза России» по результату проверки откорректированной </w:t>
            </w:r>
            <w:r>
              <w:rPr>
                <w:sz w:val="26"/>
                <w:szCs w:val="26"/>
              </w:rPr>
              <w:t xml:space="preserve">проектно</w:t>
            </w:r>
            <w:r>
              <w:rPr>
                <w:sz w:val="26"/>
                <w:szCs w:val="26"/>
              </w:rPr>
              <w:t xml:space="preserve">-сметно</w:t>
            </w:r>
            <w:r>
              <w:rPr>
                <w:sz w:val="26"/>
                <w:szCs w:val="26"/>
              </w:rPr>
              <w:t xml:space="preserve">й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документации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809"/>
        </w:trPr>
        <w:tc>
          <w:tcPr>
            <w:shd w:val="clear" w:color="auto" w:fill="auto"/>
            <w:tcW w:w="709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  <w:t xml:space="preserve">5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762" w:type="dxa"/>
            <w:textDirection w:val="lrTb"/>
            <w:noWrap w:val="false"/>
          </w:tcPr>
          <w:p>
            <w:pPr>
              <w:pStyle w:val="73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Требования к объему и содержанию документации</w:t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6429" w:type="dxa"/>
            <w:textDirection w:val="lrTb"/>
            <w:noWrap w:val="false"/>
          </w:tcPr>
          <w:p>
            <w:pPr>
              <w:ind w:firstLine="0"/>
              <w:tabs>
                <w:tab w:val="left" w:pos="515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Представить четыре экземпляра проектной и рабочей документации на бумажном носителе</w:t>
            </w:r>
            <w:r>
              <w:rPr>
                <w:sz w:val="26"/>
                <w:szCs w:val="26"/>
              </w:rPr>
              <w:t xml:space="preserve">,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два экземпляра на </w:t>
            </w:r>
            <w:r>
              <w:rPr>
                <w:sz w:val="26"/>
                <w:szCs w:val="26"/>
              </w:rPr>
              <w:t xml:space="preserve">электронн</w:t>
            </w:r>
            <w:r>
              <w:rPr>
                <w:sz w:val="26"/>
                <w:szCs w:val="26"/>
              </w:rPr>
              <w:t xml:space="preserve">ом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носителе</w:t>
            </w:r>
            <w:r>
              <w:rPr>
                <w:sz w:val="26"/>
                <w:szCs w:val="26"/>
              </w:rPr>
              <w:t xml:space="preserve"> в формате </w:t>
            </w:r>
            <w:r>
              <w:rPr>
                <w:sz w:val="26"/>
                <w:szCs w:val="26"/>
              </w:rPr>
              <w:t xml:space="preserve">«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  <w:t xml:space="preserve">pdf</w:t>
            </w:r>
            <w:r>
              <w:rPr>
                <w:sz w:val="26"/>
                <w:szCs w:val="26"/>
              </w:rPr>
              <w:t xml:space="preserve">» и </w:t>
            </w:r>
            <w:r>
              <w:rPr>
                <w:sz w:val="26"/>
                <w:szCs w:val="26"/>
              </w:rPr>
              <w:t xml:space="preserve">в редактируем</w:t>
            </w:r>
            <w:r>
              <w:rPr>
                <w:sz w:val="26"/>
                <w:szCs w:val="26"/>
              </w:rPr>
              <w:t xml:space="preserve">ых форматах</w:t>
            </w:r>
            <w:r>
              <w:rPr>
                <w:sz w:val="26"/>
                <w:szCs w:val="26"/>
              </w:rPr>
              <w:t xml:space="preserve">: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15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текстовые документы в формате </w:t>
            </w:r>
            <w:r>
              <w:rPr>
                <w:sz w:val="26"/>
                <w:szCs w:val="26"/>
              </w:rPr>
              <w:t xml:space="preserve">«.</w:t>
            </w:r>
            <w:r>
              <w:rPr>
                <w:sz w:val="26"/>
                <w:szCs w:val="26"/>
              </w:rPr>
              <w:t xml:space="preserve">doc</w:t>
            </w:r>
            <w:r>
              <w:rPr>
                <w:sz w:val="26"/>
                <w:szCs w:val="26"/>
              </w:rPr>
              <w:t xml:space="preserve">», «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  <w:t xml:space="preserve">doc</w:t>
            </w:r>
            <w:r>
              <w:rPr>
                <w:sz w:val="26"/>
                <w:szCs w:val="26"/>
                <w:lang w:val="en-US"/>
              </w:rPr>
              <w:t xml:space="preserve">x</w:t>
            </w:r>
            <w:r>
              <w:rPr>
                <w:sz w:val="26"/>
                <w:szCs w:val="26"/>
              </w:rPr>
              <w:t xml:space="preserve">»;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15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документы в виде таблиц </w:t>
            </w:r>
            <w:r>
              <w:rPr>
                <w:sz w:val="26"/>
                <w:szCs w:val="26"/>
              </w:rPr>
              <w:t xml:space="preserve">в формате </w:t>
            </w:r>
            <w:r>
              <w:rPr>
                <w:sz w:val="26"/>
                <w:szCs w:val="26"/>
              </w:rPr>
              <w:t xml:space="preserve">«.</w:t>
            </w:r>
            <w:r>
              <w:rPr>
                <w:sz w:val="26"/>
                <w:szCs w:val="26"/>
              </w:rPr>
              <w:t xml:space="preserve">xlsx</w:t>
            </w:r>
            <w:r>
              <w:rPr>
                <w:sz w:val="26"/>
                <w:szCs w:val="26"/>
              </w:rPr>
              <w:t xml:space="preserve">»;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15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чертежи в формате </w:t>
            </w:r>
            <w:r>
              <w:rPr>
                <w:sz w:val="26"/>
                <w:szCs w:val="26"/>
              </w:rPr>
              <w:t xml:space="preserve">«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  <w:t xml:space="preserve">dwg</w:t>
            </w:r>
            <w:r>
              <w:rPr>
                <w:sz w:val="26"/>
                <w:szCs w:val="26"/>
              </w:rPr>
              <w:t xml:space="preserve">».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15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Представить четыре экземпляра сметной документации на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бумажном носителе</w:t>
            </w:r>
            <w:r>
              <w:rPr>
                <w:sz w:val="26"/>
                <w:szCs w:val="26"/>
              </w:rPr>
              <w:t xml:space="preserve">,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два экземпляра на </w:t>
            </w:r>
            <w:r>
              <w:rPr>
                <w:sz w:val="26"/>
                <w:szCs w:val="26"/>
              </w:rPr>
              <w:t xml:space="preserve">электронн</w:t>
            </w:r>
            <w:r>
              <w:rPr>
                <w:sz w:val="26"/>
                <w:szCs w:val="26"/>
              </w:rPr>
              <w:t xml:space="preserve">ом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носителе</w:t>
            </w:r>
            <w:r>
              <w:rPr>
                <w:sz w:val="26"/>
                <w:szCs w:val="26"/>
              </w:rPr>
              <w:t xml:space="preserve"> в формате </w:t>
            </w:r>
            <w:r>
              <w:rPr>
                <w:sz w:val="26"/>
                <w:szCs w:val="26"/>
              </w:rPr>
              <w:t xml:space="preserve">«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  <w:t xml:space="preserve">pdf</w:t>
            </w:r>
            <w:r>
              <w:rPr>
                <w:sz w:val="26"/>
                <w:szCs w:val="26"/>
              </w:rPr>
              <w:t xml:space="preserve">» и </w:t>
            </w:r>
            <w:r>
              <w:rPr>
                <w:sz w:val="26"/>
                <w:szCs w:val="26"/>
              </w:rPr>
              <w:t xml:space="preserve">в редактируем</w:t>
            </w:r>
            <w:r>
              <w:rPr>
                <w:sz w:val="26"/>
                <w:szCs w:val="26"/>
              </w:rPr>
              <w:t xml:space="preserve">ых форматах</w:t>
            </w:r>
            <w:r>
              <w:rPr>
                <w:sz w:val="26"/>
                <w:szCs w:val="26"/>
              </w:rPr>
              <w:t xml:space="preserve">: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15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текстовые документы в формате </w:t>
            </w:r>
            <w:r>
              <w:rPr>
                <w:sz w:val="26"/>
                <w:szCs w:val="26"/>
              </w:rPr>
              <w:t xml:space="preserve">«.</w:t>
            </w:r>
            <w:r>
              <w:rPr>
                <w:sz w:val="26"/>
                <w:szCs w:val="26"/>
              </w:rPr>
              <w:t xml:space="preserve">doc</w:t>
            </w:r>
            <w:r>
              <w:rPr>
                <w:sz w:val="26"/>
                <w:szCs w:val="26"/>
              </w:rPr>
              <w:t xml:space="preserve">», «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  <w:t xml:space="preserve">doc</w:t>
            </w:r>
            <w:r>
              <w:rPr>
                <w:sz w:val="26"/>
                <w:szCs w:val="26"/>
                <w:lang w:val="en-US"/>
              </w:rPr>
              <w:t xml:space="preserve">x</w:t>
            </w:r>
            <w:r>
              <w:rPr>
                <w:sz w:val="26"/>
                <w:szCs w:val="26"/>
              </w:rPr>
              <w:t xml:space="preserve">»;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15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сметные расчеты </w:t>
            </w:r>
            <w:r>
              <w:rPr>
                <w:sz w:val="26"/>
                <w:szCs w:val="26"/>
              </w:rPr>
              <w:t xml:space="preserve">в формат</w:t>
            </w:r>
            <w:r>
              <w:rPr>
                <w:sz w:val="26"/>
                <w:szCs w:val="26"/>
              </w:rPr>
              <w:t xml:space="preserve">ах</w:t>
            </w:r>
            <w:r>
              <w:rPr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  <w:lang w:val="en-US"/>
              </w:rPr>
              <w:t xml:space="preserve">gsfx</w:t>
            </w:r>
            <w:r>
              <w:rPr>
                <w:sz w:val="26"/>
                <w:szCs w:val="26"/>
              </w:rPr>
              <w:t xml:space="preserve">»</w:t>
            </w:r>
            <w:r>
              <w:rPr>
                <w:sz w:val="26"/>
                <w:szCs w:val="26"/>
              </w:rPr>
              <w:t xml:space="preserve">,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«.</w:t>
            </w:r>
            <w:r>
              <w:rPr>
                <w:sz w:val="26"/>
                <w:szCs w:val="26"/>
              </w:rPr>
              <w:t xml:space="preserve">gge</w:t>
            </w:r>
            <w:r>
              <w:rPr>
                <w:sz w:val="26"/>
                <w:szCs w:val="26"/>
              </w:rPr>
              <w:t xml:space="preserve">»,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«.</w:t>
            </w:r>
            <w:r>
              <w:rPr>
                <w:sz w:val="26"/>
                <w:szCs w:val="26"/>
              </w:rPr>
              <w:t xml:space="preserve">xlsx</w:t>
            </w:r>
            <w:r>
              <w:rPr>
                <w:sz w:val="26"/>
                <w:szCs w:val="26"/>
              </w:rPr>
              <w:t xml:space="preserve">».</w:t>
            </w:r>
            <w:r>
              <w:rPr>
                <w:sz w:val="26"/>
                <w:szCs w:val="26"/>
              </w:rPr>
            </w:r>
          </w:p>
          <w:p>
            <w:pPr>
              <w:ind w:firstLine="0"/>
              <w:tabs>
                <w:tab w:val="left" w:pos="515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Размеры, форматы и содержание текстовых документов и чертежей, выполненные в электронных форматах, должны быть идентичны бумажному оригиналу, к которому они прилагаются.</w:t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426"/>
        <w:spacing w:after="0"/>
        <w:rPr>
          <w:bCs/>
        </w:rPr>
      </w:pPr>
      <w:r>
        <w:rPr>
          <w:bCs/>
        </w:rPr>
      </w:r>
      <w:r>
        <w:rPr>
          <w:bCs/>
        </w:rPr>
      </w:r>
    </w:p>
    <w:p>
      <w:pPr>
        <w:ind w:firstLine="426"/>
        <w:spacing w:after="0"/>
        <w:rPr>
          <w:bCs/>
        </w:rPr>
      </w:pPr>
      <w:r>
        <w:rPr>
          <w:bCs/>
        </w:rPr>
      </w:r>
      <w:r>
        <w:rPr>
          <w:bCs/>
        </w:rPr>
      </w:r>
    </w:p>
    <w:p>
      <w:pPr>
        <w:ind w:firstLine="426"/>
        <w:spacing w:after="0"/>
        <w:rPr>
          <w:bCs/>
        </w:rPr>
      </w:pPr>
      <w:r>
        <w:rPr>
          <w:bCs/>
        </w:rPr>
      </w:r>
      <w:r>
        <w:rPr>
          <w:bCs/>
        </w:rPr>
      </w:r>
    </w:p>
    <w:p>
      <w:pPr>
        <w:ind w:firstLine="426"/>
        <w:spacing w:after="0"/>
        <w:rPr>
          <w:bCs/>
        </w:rPr>
      </w:pPr>
      <w:r>
        <w:rPr>
          <w:bCs/>
        </w:rPr>
      </w:r>
      <w:r>
        <w:rPr>
          <w:bCs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709" w:left="1418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Segoe UI">
    <w:panose1 w:val="020B0502040504020204"/>
  </w:font>
  <w:font w:name="Calibri Light">
    <w:panose1 w:val="020F050202020403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72061602"/>
      <w:docPartObj>
        <w:docPartGallery w:val="Page Numbers (Bottom of Page)"/>
        <w:docPartUnique w:val="true"/>
      </w:docPartObj>
      <w:rPr/>
    </w:sdtPr>
    <w:sdtContent>
      <w:p>
        <w:pPr>
          <w:pStyle w:val="74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5</w:t>
        </w:r>
        <w:r>
          <w:fldChar w:fldCharType="end"/>
        </w:r>
        <w:r/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7"/>
      <w:rPr>
        <w:rStyle w:val="752"/>
      </w:rPr>
      <w:framePr w:wrap="around" w:vAnchor="text" w:hAnchor="margin" w:xAlign="right" w:y="1"/>
    </w:pPr>
    <w:r>
      <w:rPr>
        <w:rStyle w:val="752"/>
      </w:rPr>
      <w:fldChar w:fldCharType="begin"/>
    </w:r>
    <w:r>
      <w:rPr>
        <w:rStyle w:val="752"/>
      </w:rPr>
      <w:instrText xml:space="preserve">PAGE  </w:instrText>
    </w:r>
    <w:r>
      <w:rPr>
        <w:rStyle w:val="752"/>
      </w:rPr>
      <w:fldChar w:fldCharType="end"/>
    </w:r>
    <w:r>
      <w:rPr>
        <w:rStyle w:val="752"/>
      </w:rPr>
    </w:r>
  </w:p>
  <w:p>
    <w:pPr>
      <w:pStyle w:val="74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748"/>
    <w:lvl w:ilvl="0">
      <w:start w:val="1"/>
      <w:numFmt w:val="bullet"/>
      <w:pStyle w:val="748"/>
      <w:isLgl w:val="false"/>
      <w:suff w:val="tab"/>
      <w:lvlText w:val=""/>
      <w:lvlJc w:val="left"/>
      <w:pPr>
        <w:ind w:left="1199" w:firstLine="851"/>
        <w:tabs>
          <w:tab w:val="num" w:pos="2333" w:leader="none"/>
        </w:tabs>
      </w:pPr>
      <w:rPr>
        <w:rFonts w:hint="default" w:ascii="Symbol" w:hAnsi="Symbol"/>
        <w:b/>
        <w:bCs/>
        <w:sz w:val="24"/>
      </w:rPr>
    </w:lvl>
    <w:lvl w:ilvl="1">
      <w:start w:val="1"/>
      <w:numFmt w:val="bullet"/>
      <w:isLgl w:val="false"/>
      <w:suff w:val="tab"/>
      <w:lvlText w:val=""/>
      <w:lvlJc w:val="left"/>
      <w:pPr>
        <w:ind w:left="1199" w:firstLine="1134"/>
        <w:tabs>
          <w:tab w:val="num" w:pos="2617" w:leader="none"/>
        </w:tabs>
      </w:pPr>
      <w:rPr>
        <w:rFonts w:hint="default" w:ascii="Symbol" w:hAnsi="Symbol"/>
        <w:b/>
        <w:i w:val="0"/>
      </w:rPr>
    </w:lvl>
    <w:lvl w:ilvl="2">
      <w:start w:val="1"/>
      <w:numFmt w:val="bullet"/>
      <w:isLgl w:val="false"/>
      <w:suff w:val="tab"/>
      <w:lvlText w:val=""/>
      <w:lvlJc w:val="left"/>
      <w:pPr>
        <w:ind w:left="1199" w:firstLine="1418"/>
        <w:tabs>
          <w:tab w:val="num" w:pos="2900" w:leader="none"/>
        </w:tabs>
      </w:pPr>
      <w:rPr>
        <w:rFonts w:hint="default" w:ascii="Symbol" w:hAnsi="Symbol"/>
        <w:b/>
        <w:i w:val="0"/>
      </w:rPr>
    </w:lvl>
    <w:lvl w:ilvl="3">
      <w:start w:val="1"/>
      <w:numFmt w:val="bullet"/>
      <w:isLgl w:val="false"/>
      <w:suff w:val="tab"/>
      <w:lvlText w:val=""/>
      <w:lvlJc w:val="left"/>
      <w:pPr>
        <w:ind w:left="1199" w:firstLine="1701"/>
        <w:tabs>
          <w:tab w:val="num" w:pos="3184" w:leader="none"/>
        </w:tabs>
      </w:pPr>
      <w:rPr>
        <w:rFonts w:hint="default" w:ascii="Symbol" w:hAnsi="Symbol"/>
        <w:b/>
        <w:i w:val="0"/>
      </w:rPr>
    </w:lvl>
    <w:lvl w:ilvl="4">
      <w:start w:val="1"/>
      <w:numFmt w:val="bullet"/>
      <w:isLgl w:val="false"/>
      <w:suff w:val="tab"/>
      <w:lvlText w:val=""/>
      <w:lvlJc w:val="left"/>
      <w:pPr>
        <w:ind w:left="1199" w:firstLine="1985"/>
        <w:tabs>
          <w:tab w:val="num" w:pos="3467" w:leader="none"/>
        </w:tabs>
      </w:pPr>
      <w:rPr>
        <w:rFonts w:hint="default" w:ascii="Symbol" w:hAnsi="Symbol"/>
        <w:b/>
        <w:i w:val="0"/>
      </w:rPr>
    </w:lvl>
    <w:lvl w:ilvl="5">
      <w:start w:val="1"/>
      <w:numFmt w:val="bullet"/>
      <w:isLgl w:val="false"/>
      <w:suff w:val="tab"/>
      <w:lvlText w:val=""/>
      <w:lvlJc w:val="left"/>
      <w:pPr>
        <w:ind w:left="1199" w:firstLine="2268"/>
        <w:tabs>
          <w:tab w:val="num" w:pos="3751" w:leader="none"/>
        </w:tabs>
      </w:pPr>
      <w:rPr>
        <w:rFonts w:hint="default" w:ascii="Symbol" w:hAnsi="Symbol"/>
        <w:b/>
        <w:i w:val="0"/>
      </w:rPr>
    </w:lvl>
    <w:lvl w:ilvl="6">
      <w:start w:val="1"/>
      <w:numFmt w:val="bullet"/>
      <w:isLgl w:val="false"/>
      <w:suff w:val="tab"/>
      <w:lvlText w:val=""/>
      <w:lvlJc w:val="left"/>
      <w:pPr>
        <w:ind w:left="1199" w:firstLine="2552"/>
        <w:tabs>
          <w:tab w:val="num" w:pos="4034" w:leader="none"/>
        </w:tabs>
      </w:pPr>
      <w:rPr>
        <w:rFonts w:hint="default" w:ascii="Symbol" w:hAnsi="Symbol"/>
        <w:b/>
        <w:i w:val="0"/>
      </w:rPr>
    </w:lvl>
    <w:lvl w:ilvl="7">
      <w:start w:val="1"/>
      <w:numFmt w:val="bullet"/>
      <w:isLgl w:val="false"/>
      <w:suff w:val="tab"/>
      <w:lvlText w:val=""/>
      <w:lvlJc w:val="left"/>
      <w:pPr>
        <w:ind w:left="1199" w:firstLine="2835"/>
        <w:tabs>
          <w:tab w:val="num" w:pos="4318" w:leader="none"/>
        </w:tabs>
      </w:pPr>
      <w:rPr>
        <w:rFonts w:hint="default" w:ascii="Symbol" w:hAnsi="Symbol"/>
        <w:b/>
        <w:i w:val="0"/>
      </w:rPr>
    </w:lvl>
    <w:lvl w:ilvl="8">
      <w:start w:val="1"/>
      <w:numFmt w:val="bullet"/>
      <w:isLgl w:val="false"/>
      <w:suff w:val="tab"/>
      <w:lvlText w:val=""/>
      <w:lvlJc w:val="left"/>
      <w:pPr>
        <w:ind w:left="1199" w:firstLine="3119"/>
        <w:tabs>
          <w:tab w:val="num" w:pos="4601" w:leader="none"/>
        </w:tabs>
      </w:pPr>
      <w:rPr>
        <w:rFonts w:hint="default" w:ascii="Symbol" w:hAnsi="Symbol"/>
        <w:b/>
        <w:i w:val="0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567" w:leader="none"/>
        </w:tabs>
      </w:pPr>
      <w:rPr>
        <w:rFonts w:hint="default"/>
        <w:sz w:val="20"/>
      </w:rPr>
    </w:lvl>
    <w:lvl w:ilvl="1">
      <w:start w:val="1"/>
      <w:numFmt w:val="decimal"/>
      <w:isLgl w:val="false"/>
      <w:suff w:val="tab"/>
      <w:lvlText w:val="%1.%2"/>
      <w:lvlJc w:val="left"/>
      <w:pPr>
        <w:ind w:left="568" w:firstLine="0"/>
        <w:tabs>
          <w:tab w:val="num" w:pos="141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0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0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0" w:firstLine="0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0" w:firstLine="0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0" w:firstLine="0"/>
        <w:tabs>
          <w:tab w:val="num" w:pos="226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0" w:firstLine="0"/>
        <w:tabs>
          <w:tab w:val="num" w:pos="255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0" w:firstLine="0"/>
        <w:tabs>
          <w:tab w:val="num" w:pos="2835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567" w:leader="none"/>
        </w:tabs>
      </w:pPr>
      <w:rPr>
        <w:rFonts w:hint="default"/>
        <w:sz w:val="20"/>
      </w:rPr>
    </w:lvl>
    <w:lvl w:ilvl="1">
      <w:start w:val="1"/>
      <w:numFmt w:val="decimal"/>
      <w:isLgl w:val="false"/>
      <w:suff w:val="tab"/>
      <w:lvlText w:val="%1.%2"/>
      <w:lvlJc w:val="left"/>
      <w:pPr>
        <w:ind w:left="568" w:firstLine="0"/>
        <w:tabs>
          <w:tab w:val="num" w:pos="141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0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0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0" w:firstLine="0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0" w:firstLine="0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0" w:firstLine="0"/>
        <w:tabs>
          <w:tab w:val="num" w:pos="226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0" w:firstLine="0"/>
        <w:tabs>
          <w:tab w:val="num" w:pos="255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0" w:firstLine="0"/>
        <w:tabs>
          <w:tab w:val="num" w:pos="2835" w:leader="none"/>
        </w:tabs>
      </w:pPr>
      <w:rPr>
        <w:rFonts w:hint="default"/>
      </w:rPr>
    </w:lvl>
  </w:abstractNum>
  <w:abstractNum w:abstractNumId="6">
    <w:multiLevelType w:val="hybridMultilevel"/>
    <w:numStyleLink w:val="742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5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styleLink w:val="749"/>
    <w:lvl w:ilvl="0">
      <w:start w:val="1"/>
      <w:numFmt w:val="decimal"/>
      <w:pStyle w:val="749"/>
      <w:isLgl w:val="false"/>
      <w:suff w:val="tab"/>
      <w:lvlText w:val="%1."/>
      <w:lvlJc w:val="left"/>
      <w:pPr>
        <w:ind w:left="0" w:firstLine="851"/>
        <w:tabs>
          <w:tab w:val="num" w:pos="1418" w:leader="none"/>
        </w:tabs>
      </w:pPr>
      <w:rPr>
        <w:rFonts w:hint="default"/>
        <w:sz w:val="24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851"/>
        <w:tabs>
          <w:tab w:val="num" w:pos="1701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851"/>
        <w:tabs>
          <w:tab w:val="num" w:pos="198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851"/>
        <w:tabs>
          <w:tab w:val="num" w:pos="226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0" w:firstLine="851"/>
        <w:tabs>
          <w:tab w:val="num" w:pos="2552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0" w:firstLine="851"/>
        <w:tabs>
          <w:tab w:val="num" w:pos="283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0" w:firstLine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0" w:firstLine="851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0" w:firstLine="851"/>
        <w:tabs>
          <w:tab w:val="num" w:pos="3686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  <w:sz w:val="1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styleLink w:val="742"/>
    <w:lvl w:ilvl="0">
      <w:start w:val="1"/>
      <w:numFmt w:val="decimal"/>
      <w:pStyle w:val="742"/>
      <w:isLgl w:val="false"/>
      <w:suff w:val="tab"/>
      <w:lvlText w:val="%1."/>
      <w:lvlJc w:val="left"/>
      <w:pPr>
        <w:ind w:left="0" w:firstLine="0"/>
        <w:tabs>
          <w:tab w:val="num" w:pos="567" w:leader="none"/>
        </w:tabs>
      </w:pPr>
      <w:rPr>
        <w:rFonts w:hint="default"/>
        <w:sz w:val="20"/>
      </w:rPr>
    </w:lvl>
    <w:lvl w:ilvl="1">
      <w:start w:val="1"/>
      <w:numFmt w:val="decimal"/>
      <w:isLgl w:val="false"/>
      <w:suff w:val="tab"/>
      <w:lvlText w:val="%1.%2"/>
      <w:lvlJc w:val="left"/>
      <w:pPr>
        <w:ind w:left="568" w:firstLine="0"/>
        <w:tabs>
          <w:tab w:val="num" w:pos="141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0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0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0" w:firstLine="0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0" w:firstLine="0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0" w:firstLine="0"/>
        <w:tabs>
          <w:tab w:val="num" w:pos="226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0" w:firstLine="0"/>
        <w:tabs>
          <w:tab w:val="num" w:pos="255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0" w:firstLine="0"/>
        <w:tabs>
          <w:tab w:val="num" w:pos="2835" w:leader="none"/>
        </w:tabs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10"/>
  </w:num>
  <w:num w:numId="4">
    <w:abstractNumId w:val="6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0" w:firstLine="0"/>
          <w:tabs>
            <w:tab w:val="num" w:pos="567" w:leader="none"/>
          </w:tabs>
        </w:pPr>
        <w:rPr>
          <w:rFonts w:hint="default"/>
          <w:sz w:val="20"/>
        </w:rPr>
      </w:lvl>
    </w:lvlOverride>
  </w:num>
  <w:num w:numId="5">
    <w:abstractNumId w:val="13"/>
  </w:num>
  <w:num w:numId="6">
    <w:abstractNumId w:val="13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4"/>
  </w:num>
  <w:num w:numId="12">
    <w:abstractNumId w:val="11"/>
  </w:num>
  <w:num w:numId="13">
    <w:abstractNumId w:val="12"/>
  </w:num>
  <w:num w:numId="14">
    <w:abstractNumId w:val="2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727"/>
    <w:link w:val="722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727"/>
    <w:link w:val="723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727"/>
    <w:link w:val="724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727"/>
    <w:link w:val="72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21"/>
    <w:next w:val="721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27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21"/>
    <w:next w:val="721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27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21"/>
    <w:next w:val="721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27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21"/>
    <w:next w:val="721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27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727"/>
    <w:link w:val="72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721"/>
    <w:next w:val="721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727"/>
    <w:link w:val="35"/>
    <w:uiPriority w:val="10"/>
    <w:rPr>
      <w:sz w:val="48"/>
      <w:szCs w:val="48"/>
    </w:rPr>
  </w:style>
  <w:style w:type="paragraph" w:styleId="37">
    <w:name w:val="Subtitle"/>
    <w:basedOn w:val="721"/>
    <w:next w:val="721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27"/>
    <w:link w:val="37"/>
    <w:uiPriority w:val="11"/>
    <w:rPr>
      <w:sz w:val="24"/>
      <w:szCs w:val="24"/>
    </w:rPr>
  </w:style>
  <w:style w:type="paragraph" w:styleId="39">
    <w:name w:val="Quote"/>
    <w:basedOn w:val="721"/>
    <w:next w:val="721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21"/>
    <w:next w:val="721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27"/>
    <w:link w:val="746"/>
    <w:uiPriority w:val="99"/>
  </w:style>
  <w:style w:type="character" w:styleId="46">
    <w:name w:val="Footer Char"/>
    <w:basedOn w:val="727"/>
    <w:link w:val="747"/>
    <w:uiPriority w:val="99"/>
  </w:style>
  <w:style w:type="paragraph" w:styleId="47">
    <w:name w:val="Caption"/>
    <w:basedOn w:val="721"/>
    <w:next w:val="721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727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3664a9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245d8d" w:themeColor="accent5" w:themeShade="95"/>
        <w:sz w:val="22"/>
      </w:rPr>
    </w:tblStylePr>
    <w:tblStylePr w:type="firstCol">
      <w:rPr>
        <w:rFonts w:ascii="Liberation Sans" w:hAnsi="Liberation Sans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254374" w:themeColor="accent1" w:themeShade="95"/>
        <w:sz w:val="22"/>
      </w:rPr>
    </w:tblStylePr>
    <w:tblStylePr w:type="firstCol">
      <w:rPr>
        <w:rFonts w:ascii="Liberation Sans" w:hAnsi="Liberation Sans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54374" w:themeColor="accent1" w:themeShade="95"/>
        <w:sz w:val="22"/>
      </w:rPr>
    </w:tblStylePr>
  </w:style>
  <w:style w:type="table" w:styleId="149">
    <w:name w:val="List Table 7 Colorful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2e78b1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e78b1" w:themeColor="accent5" w:themeTint="9A" w:themeShade="95"/>
        <w:sz w:val="22"/>
      </w:rPr>
    </w:tblStylePr>
  </w:style>
  <w:style w:type="table" w:styleId="153">
    <w:name w:val="List Table 7 Colorful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6">
    <w:name w:val="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0">
    <w:name w:val="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3">
    <w:name w:val="Bordered &amp; Lined - Accent 2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7">
    <w:name w:val="Bordered &amp; Lined - Accent 6"/>
    <w:basedOn w:val="7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721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727"/>
    <w:uiPriority w:val="99"/>
    <w:unhideWhenUsed/>
    <w:rPr>
      <w:vertAlign w:val="superscript"/>
    </w:rPr>
  </w:style>
  <w:style w:type="paragraph" w:styleId="179">
    <w:name w:val="endnote text"/>
    <w:basedOn w:val="721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27"/>
    <w:uiPriority w:val="99"/>
    <w:semiHidden/>
    <w:unhideWhenUsed/>
    <w:rPr>
      <w:vertAlign w:val="superscript"/>
    </w:rPr>
  </w:style>
  <w:style w:type="paragraph" w:styleId="182">
    <w:name w:val="toc 1"/>
    <w:basedOn w:val="721"/>
    <w:next w:val="721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21"/>
    <w:next w:val="721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21"/>
    <w:next w:val="721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21"/>
    <w:next w:val="721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21"/>
    <w:next w:val="721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21"/>
    <w:next w:val="721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21"/>
    <w:next w:val="721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21"/>
    <w:next w:val="721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21"/>
    <w:next w:val="721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21"/>
    <w:next w:val="721"/>
    <w:uiPriority w:val="99"/>
    <w:unhideWhenUsed/>
    <w:pPr>
      <w:spacing w:after="0" w:afterAutospacing="0"/>
    </w:pPr>
  </w:style>
  <w:style w:type="paragraph" w:styleId="721" w:default="1">
    <w:name w:val="Normal"/>
    <w:qFormat/>
    <w:pPr>
      <w:ind w:firstLine="900"/>
      <w:jc w:val="both"/>
      <w:spacing w:after="120"/>
    </w:pPr>
    <w:rPr>
      <w:sz w:val="24"/>
      <w:szCs w:val="24"/>
    </w:rPr>
  </w:style>
  <w:style w:type="paragraph" w:styleId="722">
    <w:name w:val="Heading 1"/>
    <w:basedOn w:val="721"/>
    <w:next w:val="72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723">
    <w:name w:val="Heading 2"/>
    <w:basedOn w:val="721"/>
    <w:next w:val="721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24">
    <w:name w:val="Heading 3"/>
    <w:basedOn w:val="721"/>
    <w:next w:val="72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25">
    <w:name w:val="Heading 4"/>
    <w:basedOn w:val="721"/>
    <w:next w:val="72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26">
    <w:name w:val="Heading 9"/>
    <w:basedOn w:val="721"/>
    <w:next w:val="721"/>
    <w:link w:val="755"/>
    <w:semiHidden/>
    <w:unhideWhenUsed/>
    <w:qFormat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styleId="727" w:default="1">
    <w:name w:val="Default Paragraph Font"/>
    <w:uiPriority w:val="1"/>
    <w:semiHidden/>
    <w:unhideWhenUsed/>
  </w:style>
  <w:style w:type="table" w:styleId="72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9" w:default="1">
    <w:name w:val="No List"/>
    <w:uiPriority w:val="99"/>
    <w:semiHidden/>
    <w:unhideWhenUsed/>
  </w:style>
  <w:style w:type="paragraph" w:styleId="730" w:customStyle="1">
    <w:name w:val="3-1"/>
    <w:basedOn w:val="722"/>
    <w:next w:val="721"/>
    <w:pPr>
      <w:ind w:firstLine="902"/>
      <w:spacing w:after="120"/>
    </w:pPr>
    <w:rPr>
      <w:sz w:val="24"/>
      <w:szCs w:val="24"/>
    </w:rPr>
  </w:style>
  <w:style w:type="paragraph" w:styleId="731" w:customStyle="1">
    <w:name w:val="3-1-C"/>
    <w:basedOn w:val="722"/>
    <w:next w:val="721"/>
    <w:pPr>
      <w:ind w:firstLine="0"/>
      <w:jc w:val="center"/>
    </w:pPr>
    <w:rPr>
      <w:sz w:val="24"/>
      <w:szCs w:val="24"/>
    </w:rPr>
  </w:style>
  <w:style w:type="paragraph" w:styleId="732" w:customStyle="1">
    <w:name w:val="3-1-R"/>
    <w:basedOn w:val="722"/>
    <w:next w:val="721"/>
    <w:pPr>
      <w:jc w:val="right"/>
    </w:pPr>
    <w:rPr>
      <w:sz w:val="24"/>
      <w:szCs w:val="24"/>
    </w:rPr>
  </w:style>
  <w:style w:type="paragraph" w:styleId="733" w:customStyle="1">
    <w:name w:val="3-2"/>
    <w:basedOn w:val="723"/>
    <w:next w:val="721"/>
    <w:rPr>
      <w:i w:val="0"/>
      <w:sz w:val="24"/>
      <w:szCs w:val="24"/>
    </w:rPr>
  </w:style>
  <w:style w:type="paragraph" w:styleId="734" w:customStyle="1">
    <w:name w:val="3-3"/>
    <w:basedOn w:val="724"/>
    <w:next w:val="721"/>
    <w:rPr>
      <w:b w:val="0"/>
    </w:rPr>
  </w:style>
  <w:style w:type="paragraph" w:styleId="735" w:customStyle="1">
    <w:name w:val="3-4"/>
    <w:basedOn w:val="725"/>
    <w:next w:val="721"/>
    <w:rPr>
      <w:rFonts w:ascii="Arial" w:hAnsi="Arial" w:cs="Arial"/>
      <w:b w:val="0"/>
      <w:sz w:val="22"/>
      <w:szCs w:val="22"/>
    </w:rPr>
  </w:style>
  <w:style w:type="paragraph" w:styleId="736" w:customStyle="1">
    <w:name w:val="C-H"/>
    <w:basedOn w:val="721"/>
    <w:next w:val="721"/>
    <w:pPr>
      <w:ind w:firstLine="0"/>
      <w:jc w:val="center"/>
    </w:pPr>
  </w:style>
  <w:style w:type="paragraph" w:styleId="737" w:customStyle="1">
    <w:name w:val="R-H"/>
    <w:basedOn w:val="721"/>
    <w:next w:val="721"/>
    <w:pPr>
      <w:jc w:val="right"/>
    </w:pPr>
  </w:style>
  <w:style w:type="paragraph" w:styleId="738" w:customStyle="1">
    <w:name w:val="T-T-L"/>
    <w:basedOn w:val="721"/>
    <w:link w:val="751"/>
    <w:uiPriority w:val="99"/>
    <w:pPr>
      <w:ind w:firstLine="0"/>
      <w:jc w:val="left"/>
      <w:spacing w:after="0"/>
    </w:pPr>
    <w:rPr>
      <w:sz w:val="22"/>
      <w:szCs w:val="22"/>
    </w:rPr>
  </w:style>
  <w:style w:type="paragraph" w:styleId="739" w:customStyle="1">
    <w:name w:val="T-H"/>
    <w:basedOn w:val="738"/>
    <w:pPr>
      <w:jc w:val="center"/>
    </w:pPr>
    <w:rPr>
      <w:rFonts w:ascii="Arial" w:hAnsi="Arial" w:cs="Arial"/>
    </w:rPr>
  </w:style>
  <w:style w:type="paragraph" w:styleId="740" w:customStyle="1">
    <w:name w:val="T-H-10"/>
    <w:basedOn w:val="739"/>
    <w:rPr>
      <w:sz w:val="20"/>
      <w:szCs w:val="20"/>
    </w:rPr>
  </w:style>
  <w:style w:type="paragraph" w:styleId="741" w:customStyle="1">
    <w:name w:val="T-H-8"/>
    <w:basedOn w:val="740"/>
    <w:rPr>
      <w:sz w:val="16"/>
      <w:szCs w:val="16"/>
    </w:rPr>
  </w:style>
  <w:style w:type="numbering" w:styleId="742" w:customStyle="1">
    <w:name w:val="T-N"/>
    <w:basedOn w:val="729"/>
    <w:pPr>
      <w:numPr>
        <w:ilvl w:val="0"/>
        <w:numId w:val="1"/>
      </w:numPr>
    </w:pPr>
  </w:style>
  <w:style w:type="paragraph" w:styleId="743" w:customStyle="1">
    <w:name w:val="T-T-L-10"/>
    <w:basedOn w:val="738"/>
    <w:rPr>
      <w:sz w:val="20"/>
      <w:szCs w:val="20"/>
    </w:rPr>
  </w:style>
  <w:style w:type="paragraph" w:styleId="744" w:customStyle="1">
    <w:name w:val="T-T-R"/>
    <w:basedOn w:val="738"/>
    <w:pPr>
      <w:jc w:val="right"/>
    </w:pPr>
  </w:style>
  <w:style w:type="paragraph" w:styleId="745" w:customStyle="1">
    <w:name w:val="T-T-R-10"/>
    <w:basedOn w:val="744"/>
    <w:rPr>
      <w:sz w:val="20"/>
      <w:szCs w:val="20"/>
      <w:lang w:val="en-US"/>
    </w:rPr>
  </w:style>
  <w:style w:type="paragraph" w:styleId="746">
    <w:name w:val="Header"/>
    <w:basedOn w:val="721"/>
    <w:pPr>
      <w:tabs>
        <w:tab w:val="center" w:pos="4677" w:leader="none"/>
        <w:tab w:val="right" w:pos="9355" w:leader="none"/>
      </w:tabs>
    </w:pPr>
  </w:style>
  <w:style w:type="paragraph" w:styleId="747">
    <w:name w:val="Footer"/>
    <w:basedOn w:val="721"/>
    <w:link w:val="760"/>
    <w:uiPriority w:val="99"/>
    <w:pPr>
      <w:tabs>
        <w:tab w:val="center" w:pos="4677" w:leader="none"/>
        <w:tab w:val="right" w:pos="9355" w:leader="none"/>
      </w:tabs>
    </w:pPr>
  </w:style>
  <w:style w:type="numbering" w:styleId="748" w:customStyle="1">
    <w:name w:val="Стиль маркированный полужирный"/>
    <w:basedOn w:val="729"/>
    <w:pPr>
      <w:numPr>
        <w:ilvl w:val="0"/>
        <w:numId w:val="2"/>
      </w:numPr>
    </w:pPr>
  </w:style>
  <w:style w:type="numbering" w:styleId="749" w:customStyle="1">
    <w:name w:val="Стиль нумерованный"/>
    <w:basedOn w:val="729"/>
    <w:pPr>
      <w:numPr>
        <w:ilvl w:val="0"/>
        <w:numId w:val="3"/>
      </w:numPr>
    </w:pPr>
  </w:style>
  <w:style w:type="table" w:styleId="750">
    <w:name w:val="Table Grid"/>
    <w:basedOn w:val="728"/>
    <w:uiPriority w:val="59"/>
    <w:pPr>
      <w:ind w:firstLine="900"/>
      <w:jc w:val="both"/>
      <w:spacing w:after="12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51" w:customStyle="1">
    <w:name w:val="T-T-L Знак"/>
    <w:link w:val="738"/>
    <w:uiPriority w:val="99"/>
    <w:rPr>
      <w:sz w:val="22"/>
      <w:szCs w:val="22"/>
      <w:lang w:val="ru-RU" w:eastAsia="ru-RU" w:bidi="ar-SA"/>
    </w:rPr>
  </w:style>
  <w:style w:type="character" w:styleId="752">
    <w:name w:val="page number"/>
    <w:basedOn w:val="727"/>
  </w:style>
  <w:style w:type="paragraph" w:styleId="753">
    <w:name w:val="Balloon Text"/>
    <w:basedOn w:val="721"/>
    <w:link w:val="754"/>
    <w:pPr>
      <w:spacing w:after="0"/>
    </w:pPr>
    <w:rPr>
      <w:rFonts w:ascii="Segoe UI" w:hAnsi="Segoe UI" w:cs="Segoe UI"/>
      <w:sz w:val="18"/>
      <w:szCs w:val="18"/>
    </w:rPr>
  </w:style>
  <w:style w:type="character" w:styleId="754" w:customStyle="1">
    <w:name w:val="Текст выноски Знак"/>
    <w:link w:val="753"/>
    <w:rPr>
      <w:rFonts w:ascii="Segoe UI" w:hAnsi="Segoe UI" w:cs="Segoe UI"/>
      <w:sz w:val="18"/>
      <w:szCs w:val="18"/>
    </w:rPr>
  </w:style>
  <w:style w:type="character" w:styleId="755" w:customStyle="1">
    <w:name w:val="Заголовок 9 Знак"/>
    <w:link w:val="726"/>
    <w:semiHidden/>
    <w:rPr>
      <w:rFonts w:ascii="Calibri Light" w:hAnsi="Calibri Light" w:eastAsia="Times New Roman" w:cs="Times New Roman"/>
      <w:sz w:val="22"/>
      <w:szCs w:val="22"/>
    </w:rPr>
  </w:style>
  <w:style w:type="paragraph" w:styleId="756">
    <w:name w:val="annotation text"/>
    <w:basedOn w:val="721"/>
    <w:link w:val="757"/>
    <w:rPr>
      <w:sz w:val="20"/>
      <w:szCs w:val="20"/>
    </w:rPr>
  </w:style>
  <w:style w:type="character" w:styleId="757" w:customStyle="1">
    <w:name w:val="Текст примечания Знак"/>
    <w:basedOn w:val="727"/>
    <w:link w:val="756"/>
  </w:style>
  <w:style w:type="paragraph" w:styleId="758">
    <w:name w:val="No Spacing"/>
    <w:qFormat/>
    <w:rPr>
      <w:rFonts w:ascii="Calibri" w:hAnsi="Calibri" w:eastAsia="Calibri" w:cs="Calibri"/>
      <w:sz w:val="22"/>
      <w:szCs w:val="22"/>
      <w:lang w:eastAsia="zh-CN"/>
    </w:rPr>
  </w:style>
  <w:style w:type="paragraph" w:styleId="759">
    <w:name w:val="List Paragraph"/>
    <w:basedOn w:val="721"/>
    <w:uiPriority w:val="34"/>
    <w:qFormat/>
    <w:pPr>
      <w:contextualSpacing/>
      <w:ind w:left="720" w:firstLine="0"/>
      <w:jc w:val="left"/>
      <w:spacing w:after="0"/>
    </w:pPr>
  </w:style>
  <w:style w:type="character" w:styleId="760" w:customStyle="1">
    <w:name w:val="Нижний колонтитул Знак"/>
    <w:basedOn w:val="727"/>
    <w:link w:val="747"/>
    <w:uiPriority w:val="99"/>
    <w:rPr>
      <w:sz w:val="24"/>
      <w:szCs w:val="24"/>
    </w:rPr>
  </w:style>
  <w:style w:type="character" w:styleId="761" w:customStyle="1">
    <w:name w:val="Другое_"/>
    <w:basedOn w:val="727"/>
    <w:link w:val="762"/>
  </w:style>
  <w:style w:type="paragraph" w:styleId="762" w:customStyle="1">
    <w:name w:val="Другое"/>
    <w:basedOn w:val="721"/>
    <w:link w:val="761"/>
    <w:pPr>
      <w:ind w:firstLine="0"/>
      <w:jc w:val="left"/>
      <w:spacing w:after="0" w:line="276" w:lineRule="auto"/>
      <w:widowControl w:val="off"/>
    </w:pPr>
    <w:rPr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64FB6-E549-41FA-9660-A68ABABD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r7-office/2025.3.2.1000</Application>
  <Company>npopm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ЗАДАНИЯ</dc:title>
  <dc:subject/>
  <dc:creator>pkn</dc:creator>
  <cp:keywords/>
  <cp:lastModifiedBy>Тимур Мухаметгалеев</cp:lastModifiedBy>
  <cp:revision>37</cp:revision>
  <dcterms:created xsi:type="dcterms:W3CDTF">2025-12-09T05:58:00Z</dcterms:created>
  <dcterms:modified xsi:type="dcterms:W3CDTF">2026-04-27T11:00:11Z</dcterms:modified>
</cp:coreProperties>
</file>